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0D1952">
      <w:pPr>
        <w:rPr>
          <w:noProof/>
          <w:lang w:eastAsia="ru-RU"/>
        </w:rPr>
      </w:pPr>
    </w:p>
    <w:p w:rsidR="000B23C5" w:rsidRDefault="000B23C5" w:rsidP="000B23C5">
      <w:pPr>
        <w:jc w:val="center"/>
        <w:rPr>
          <w:noProof/>
          <w:sz w:val="28"/>
          <w:szCs w:val="28"/>
          <w:lang w:eastAsia="ru-RU"/>
        </w:rPr>
      </w:pPr>
    </w:p>
    <w:p w:rsidR="000B23C5" w:rsidRDefault="000B23C5" w:rsidP="000B23C5">
      <w:pPr>
        <w:jc w:val="center"/>
        <w:rPr>
          <w:noProof/>
          <w:sz w:val="28"/>
          <w:szCs w:val="28"/>
          <w:lang w:eastAsia="ru-RU"/>
        </w:rPr>
      </w:pPr>
    </w:p>
    <w:p w:rsidR="000B23C5" w:rsidRDefault="000B23C5" w:rsidP="000B23C5">
      <w:pPr>
        <w:rPr>
          <w:noProof/>
          <w:sz w:val="28"/>
          <w:szCs w:val="28"/>
          <w:lang w:eastAsia="ru-RU"/>
        </w:rPr>
      </w:pPr>
    </w:p>
    <w:p w:rsidR="00BE23C0" w:rsidRDefault="00324DA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79" w:rsidRDefault="007E5279" w:rsidP="008010FE">
      <w:pPr>
        <w:jc w:val="center"/>
        <w:rPr>
          <w:noProof/>
          <w:lang w:eastAsia="ru-RU"/>
        </w:rPr>
      </w:pP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  <w:r w:rsidRPr="008E4D9A">
        <w:rPr>
          <w:rFonts w:cs="Times New Roman"/>
          <w:b/>
          <w:szCs w:val="24"/>
        </w:rPr>
        <w:t>1. Общие положения</w:t>
      </w:r>
    </w:p>
    <w:p w:rsidR="008010FE" w:rsidRPr="008E4D9A" w:rsidRDefault="008010FE" w:rsidP="008010FE">
      <w:pPr>
        <w:rPr>
          <w:rFonts w:cs="Times New Roman"/>
          <w:b/>
          <w:szCs w:val="24"/>
        </w:rPr>
      </w:pPr>
    </w:p>
    <w:p w:rsidR="008010FE" w:rsidRPr="008E4D9A" w:rsidRDefault="008010FE" w:rsidP="008010FE">
      <w:pPr>
        <w:pStyle w:val="5"/>
        <w:tabs>
          <w:tab w:val="left" w:pos="0"/>
          <w:tab w:val="left" w:pos="480"/>
          <w:tab w:val="center" w:pos="4677"/>
        </w:tabs>
        <w:jc w:val="both"/>
        <w:rPr>
          <w:sz w:val="24"/>
          <w:szCs w:val="24"/>
        </w:rPr>
      </w:pPr>
      <w:r w:rsidRPr="008E4D9A">
        <w:rPr>
          <w:kern w:val="1"/>
          <w:sz w:val="24"/>
          <w:szCs w:val="24"/>
        </w:rPr>
        <w:tab/>
        <w:t xml:space="preserve"> Положение  об оплате труда работников</w:t>
      </w:r>
      <w:r w:rsidRPr="008E4D9A">
        <w:rPr>
          <w:sz w:val="24"/>
          <w:szCs w:val="24"/>
        </w:rPr>
        <w:t xml:space="preserve"> муниципального бюджетного дошкольного образовательного учреждения «Детский сад №</w:t>
      </w:r>
      <w:r w:rsidR="007E5279">
        <w:rPr>
          <w:sz w:val="24"/>
          <w:szCs w:val="24"/>
        </w:rPr>
        <w:t>22</w:t>
      </w:r>
      <w:r w:rsidRPr="008E4D9A">
        <w:rPr>
          <w:sz w:val="24"/>
          <w:szCs w:val="24"/>
        </w:rPr>
        <w:t xml:space="preserve"> «</w:t>
      </w:r>
      <w:r w:rsidR="007E5279">
        <w:rPr>
          <w:sz w:val="24"/>
          <w:szCs w:val="24"/>
        </w:rPr>
        <w:t>Василек</w:t>
      </w:r>
      <w:r w:rsidRPr="008E4D9A">
        <w:rPr>
          <w:sz w:val="24"/>
          <w:szCs w:val="24"/>
        </w:rPr>
        <w:t xml:space="preserve">»  разработано </w:t>
      </w:r>
      <w:r w:rsidRPr="008E4D9A">
        <w:rPr>
          <w:kern w:val="2"/>
          <w:sz w:val="24"/>
          <w:szCs w:val="24"/>
        </w:rPr>
        <w:t xml:space="preserve"> с целью повышения материальной заинтересованности работников муниципальных учреждений в повышении эффективности труда, улучшении качества оказываемых ими услуг и росте квалификации.</w:t>
      </w:r>
      <w:r w:rsidRPr="008E4D9A">
        <w:rPr>
          <w:sz w:val="24"/>
          <w:szCs w:val="24"/>
        </w:rPr>
        <w:t xml:space="preserve"> Основой для введения  Положения  являются:</w:t>
      </w:r>
    </w:p>
    <w:p w:rsidR="008010FE" w:rsidRPr="008E4D9A" w:rsidRDefault="008010FE" w:rsidP="008010FE">
      <w:pPr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Трудовой Кодекс РФ;</w:t>
      </w:r>
    </w:p>
    <w:p w:rsidR="008010FE" w:rsidRPr="008E4D9A" w:rsidRDefault="008010FE" w:rsidP="008010FE">
      <w:pPr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color w:val="000000"/>
          <w:szCs w:val="24"/>
        </w:rPr>
      </w:pPr>
      <w:r w:rsidRPr="008E4D9A">
        <w:rPr>
          <w:rFonts w:cs="Times New Roman"/>
          <w:color w:val="000000"/>
          <w:szCs w:val="24"/>
        </w:rPr>
        <w:t>Указ Президента Российской Федерации от 7 мая 2012 года № 597 «О мероприятиях по реализации государственной социальной политики»</w:t>
      </w:r>
    </w:p>
    <w:p w:rsidR="008010FE" w:rsidRPr="008E4D9A" w:rsidRDefault="008010FE" w:rsidP="008010FE">
      <w:pPr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Закон РФ «Об образовании»;</w:t>
      </w:r>
    </w:p>
    <w:p w:rsidR="008010FE" w:rsidRPr="008E4D9A" w:rsidRDefault="008010FE" w:rsidP="008010FE">
      <w:pPr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Устав МБДОУ;</w:t>
      </w:r>
    </w:p>
    <w:p w:rsidR="008010FE" w:rsidRPr="008E4D9A" w:rsidRDefault="008010FE" w:rsidP="008010FE">
      <w:pPr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Постановление Администрации Матвеево – Курганского района от 24.05.2012 года №595 «О системе оплаты труда работников муниципальных учреждений Матвеево-Курганского района»</w:t>
      </w:r>
    </w:p>
    <w:p w:rsidR="008010FE" w:rsidRPr="008E4D9A" w:rsidRDefault="008010FE" w:rsidP="008010FE">
      <w:pPr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Постановление Администрации района от 07.06.2013 №792 «О Программе поэтапного совершенствования системы оплаты труда в муниципальных учреждениях Матвеево-Курганского района на 2013-2018 годы».</w:t>
      </w:r>
    </w:p>
    <w:p w:rsidR="008010FE" w:rsidRPr="008E4D9A" w:rsidRDefault="008010FE" w:rsidP="008010FE">
      <w:pPr>
        <w:numPr>
          <w:ilvl w:val="0"/>
          <w:numId w:val="2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План мероприятий («дорожная карта») «Изменения в сфере образования Матвеево-Курганского района» (постановление Администрации Матвеево-Курганского района от 30.05.2013 №755);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 xml:space="preserve">1.2. Положение разработано  администрацией МБДОУ и  принято  на общем собрании трудового  коллектива. 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1.3. Размеры ставок заработной платы рабочих, должностных окладов руководителей, специалистов и служащих устанавливаются по профессиональным квалификационным группам профессий рабочих и должностей служащих.</w:t>
      </w:r>
    </w:p>
    <w:tbl>
      <w:tblPr>
        <w:tblW w:w="147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  <w:gridCol w:w="130"/>
        <w:gridCol w:w="2845"/>
        <w:gridCol w:w="2183"/>
      </w:tblGrid>
      <w:tr w:rsidR="008010FE" w:rsidRPr="008E4D9A" w:rsidTr="00C71213">
        <w:trPr>
          <w:trHeight w:val="78"/>
        </w:trPr>
        <w:tc>
          <w:tcPr>
            <w:tcW w:w="9639" w:type="dxa"/>
            <w:shd w:val="clear" w:color="auto" w:fill="auto"/>
          </w:tcPr>
          <w:p w:rsidR="008010FE" w:rsidRPr="008E4D9A" w:rsidRDefault="008010FE" w:rsidP="00C71213">
            <w:pPr>
              <w:snapToGrid w:val="0"/>
              <w:spacing w:line="200" w:lineRule="atLeast"/>
              <w:ind w:firstLine="709"/>
              <w:jc w:val="both"/>
              <w:rPr>
                <w:rFonts w:cs="Times New Roman"/>
                <w:bCs/>
                <w:kern w:val="1"/>
                <w:szCs w:val="24"/>
              </w:rPr>
            </w:pPr>
            <w:r w:rsidRPr="008E4D9A">
              <w:rPr>
                <w:rFonts w:cs="Times New Roman"/>
                <w:szCs w:val="24"/>
              </w:rPr>
              <w:t xml:space="preserve">  </w:t>
            </w:r>
            <w:r w:rsidRPr="008E4D9A">
              <w:rPr>
                <w:rFonts w:cs="Times New Roman"/>
                <w:kern w:val="1"/>
                <w:szCs w:val="24"/>
              </w:rPr>
              <w:t xml:space="preserve">Размер должностного оклада руководителя учреждения устанавливается </w:t>
            </w:r>
            <w:r w:rsidRPr="008E4D9A">
              <w:rPr>
                <w:rFonts w:cs="Times New Roman"/>
                <w:bCs/>
                <w:kern w:val="1"/>
                <w:szCs w:val="24"/>
              </w:rPr>
              <w:t>на основе отнесения возглавляемого им учреждения к квалификационной группе и (или) в зависимости от группы по оплате труда руководителей:</w:t>
            </w:r>
          </w:p>
          <w:p w:rsidR="008010FE" w:rsidRPr="008E4D9A" w:rsidRDefault="008010FE" w:rsidP="00C71213">
            <w:pPr>
              <w:snapToGrid w:val="0"/>
              <w:spacing w:line="200" w:lineRule="atLeast"/>
              <w:ind w:firstLine="709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8010FE" w:rsidRPr="008E4D9A" w:rsidRDefault="008010FE" w:rsidP="00C71213">
            <w:pPr>
              <w:rPr>
                <w:rFonts w:cs="Times New Roman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54"/>
        <w:tblOverlap w:val="never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1930"/>
        <w:gridCol w:w="5148"/>
        <w:gridCol w:w="2158"/>
      </w:tblGrid>
      <w:tr w:rsidR="008010FE" w:rsidRPr="008E4D9A" w:rsidTr="00C71213">
        <w:trPr>
          <w:tblHeader/>
        </w:trPr>
        <w:tc>
          <w:tcPr>
            <w:tcW w:w="622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№</w:t>
            </w:r>
          </w:p>
          <w:p w:rsidR="008010FE" w:rsidRPr="008E4D9A" w:rsidRDefault="008010FE" w:rsidP="00C71213">
            <w:pPr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п/п</w:t>
            </w:r>
          </w:p>
        </w:tc>
        <w:tc>
          <w:tcPr>
            <w:tcW w:w="1930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Номер квалификационной группы</w:t>
            </w:r>
          </w:p>
        </w:tc>
        <w:tc>
          <w:tcPr>
            <w:tcW w:w="5148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Тип учреждения</w:t>
            </w:r>
          </w:p>
        </w:tc>
        <w:tc>
          <w:tcPr>
            <w:tcW w:w="2158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Размер должностного оклада (рублей)</w:t>
            </w:r>
          </w:p>
        </w:tc>
      </w:tr>
      <w:tr w:rsidR="008010FE" w:rsidRPr="008E4D9A" w:rsidTr="00C71213">
        <w:trPr>
          <w:tblHeader/>
        </w:trPr>
        <w:tc>
          <w:tcPr>
            <w:tcW w:w="622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1</w:t>
            </w:r>
          </w:p>
        </w:tc>
        <w:tc>
          <w:tcPr>
            <w:tcW w:w="1930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2</w:t>
            </w:r>
          </w:p>
        </w:tc>
        <w:tc>
          <w:tcPr>
            <w:tcW w:w="5148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3</w:t>
            </w:r>
          </w:p>
        </w:tc>
        <w:tc>
          <w:tcPr>
            <w:tcW w:w="2158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4</w:t>
            </w:r>
          </w:p>
        </w:tc>
      </w:tr>
      <w:tr w:rsidR="008010FE" w:rsidRPr="008E4D9A" w:rsidTr="00C71213">
        <w:tc>
          <w:tcPr>
            <w:tcW w:w="622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3.</w:t>
            </w:r>
          </w:p>
        </w:tc>
        <w:tc>
          <w:tcPr>
            <w:tcW w:w="1930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4-я квалификационная группа</w:t>
            </w:r>
          </w:p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</w:p>
        </w:tc>
        <w:tc>
          <w:tcPr>
            <w:tcW w:w="5148" w:type="dxa"/>
          </w:tcPr>
          <w:p w:rsidR="008010FE" w:rsidRPr="008E4D9A" w:rsidRDefault="008010FE" w:rsidP="00C71213">
            <w:pPr>
              <w:snapToGrid w:val="0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 xml:space="preserve">учреждения образования IV группы по оплате труда руководителей </w:t>
            </w:r>
          </w:p>
        </w:tc>
        <w:tc>
          <w:tcPr>
            <w:tcW w:w="2158" w:type="dxa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11877</w:t>
            </w:r>
          </w:p>
        </w:tc>
      </w:tr>
    </w:tbl>
    <w:p w:rsidR="008010FE" w:rsidRPr="008E4D9A" w:rsidRDefault="008010FE" w:rsidP="008010FE">
      <w:pPr>
        <w:rPr>
          <w:rFonts w:cs="Times New Roman"/>
          <w:vanish/>
          <w:szCs w:val="24"/>
        </w:rPr>
      </w:pPr>
    </w:p>
    <w:p w:rsidR="008010FE" w:rsidRPr="008E4D9A" w:rsidRDefault="008010FE" w:rsidP="008010FE">
      <w:pPr>
        <w:rPr>
          <w:rFonts w:cs="Times New Roman"/>
          <w:b/>
          <w:szCs w:val="24"/>
        </w:rPr>
      </w:pP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1.4. Выплаты компенсационного характера работникам МБДОУ устанавливаются согласно разделу 2 настоящего положения.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1.5. Выплаты стимулирующего характера работникам МБДОУ устанавливаются согласно разделу 3 настоящего положения.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 xml:space="preserve">1.6. В соответствии со статьей 57 Трудового кодекса РФ условия оплаты труда работника, включая размер должностного оклада (ставки заработной платы) работника, </w:t>
      </w:r>
      <w:r w:rsidRPr="008E4D9A">
        <w:rPr>
          <w:rFonts w:cs="Times New Roman"/>
          <w:szCs w:val="24"/>
        </w:rPr>
        <w:lastRenderedPageBreak/>
        <w:t>выплаты компенсационного и стимулирующего характера являются обязательными для включения в трудовой договор.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1.7. Настоящее Положение распространяется на всех работников учреждения.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  <w:r w:rsidRPr="008E4D9A">
        <w:rPr>
          <w:rFonts w:cs="Times New Roman"/>
          <w:b/>
          <w:szCs w:val="24"/>
        </w:rPr>
        <w:t>2. Выплаты компенсационного характера</w:t>
      </w:r>
    </w:p>
    <w:p w:rsidR="008010FE" w:rsidRPr="008E4D9A" w:rsidRDefault="008010FE" w:rsidP="008010FE">
      <w:pPr>
        <w:jc w:val="both"/>
        <w:rPr>
          <w:rFonts w:cs="Times New Roman"/>
          <w:b/>
          <w:szCs w:val="24"/>
        </w:rPr>
      </w:pP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2.1. Выплаты компенсационного характера устанавливаются в форме доплат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Для руководителя и специалистов выплаты компенсационного характера устанавливаются с учетом повышающего коэффициента за квалификацию, для рабочих – с учетом повышающего коэффициента за выполнение важных (особо важных) и ответственных (особо ответственных) работ.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2.2. Выплаты компенсационного характера устанавливаются по основной работе и работе, осуществляемой по совместительству.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2.3. Выплаты работникам, занятым на тяжелых работах, работах с вредными и (или) опасными и иными особыми условиями труда устанавливаются в соответствии со статьей 147 Трудового кодекса РФ.</w:t>
      </w:r>
    </w:p>
    <w:p w:rsidR="008010FE" w:rsidRPr="008E4D9A" w:rsidRDefault="008010FE" w:rsidP="008010FE">
      <w:pPr>
        <w:rPr>
          <w:rFonts w:cs="Times New Roman"/>
          <w:b/>
          <w:szCs w:val="24"/>
        </w:rPr>
      </w:pPr>
      <w:r w:rsidRPr="008E4D9A">
        <w:rPr>
          <w:rFonts w:cs="Times New Roman"/>
          <w:color w:val="4F81BD"/>
          <w:kern w:val="1"/>
          <w:szCs w:val="24"/>
        </w:rPr>
        <w:t xml:space="preserve"> </w:t>
      </w:r>
      <w:r w:rsidRPr="008E4D9A">
        <w:rPr>
          <w:rFonts w:cs="Times New Roman"/>
          <w:szCs w:val="24"/>
        </w:rPr>
        <w:t>Доплата за работу во вредных и тяжелых условиях труда устанавливается по результатам специальной оценки условий труда за время фактической занятости в таких условиях. При этом работодатель принимает меры по проведению специальной оценке условий труда с целью разработки и реализации программ действий по обеспечению безопасных условий и</w:t>
      </w:r>
    </w:p>
    <w:p w:rsidR="008010FE" w:rsidRPr="008E4D9A" w:rsidRDefault="008010FE" w:rsidP="008010FE">
      <w:pPr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охраны труда. Если по итогам специальной оценки  рабочее место признается безопасным, то указанная выплата не производится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2.4 Выплаты работникам при выполнении работ в условиях труда, отклоняющихся от нормальных: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2.4.1 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2.4.2 Доплата за ночное время производится работникам в соответствии со статьей 154 Трудового кодекса Российской Федерации в размере 35% должностного оклада (ставки заработной платы) за каждый час работы в ночное время (в период с 22 часов до 6 часов).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 Данный расчет части должностного оклада (ставки заработной платы) за час работы применяется как для оплаты ночных часов работы, так и для оплаты в нерабочий праздничны день и сверхурочной работе.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Оплата труда сторожей осуществляются в соответствии с установленным суммированным учётом рабочего времени. Учетный период один год.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 xml:space="preserve">2.4.3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 Размер доплаты и срок, на который она устанавливается, определяется </w:t>
      </w:r>
      <w:r w:rsidRPr="008E4D9A">
        <w:rPr>
          <w:rFonts w:cs="Times New Roman"/>
          <w:kern w:val="1"/>
          <w:szCs w:val="24"/>
        </w:rPr>
        <w:lastRenderedPageBreak/>
        <w:t>по соглашению сторон трудового договора с учетом содержания и (или) объема дополнительной работы.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2.4.4Повышенная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статьей 153 Трудового кодекса Российской Федерации.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Размер доплаты составляет не менее: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 xml:space="preserve">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8010FE" w:rsidRPr="008E4D9A" w:rsidRDefault="008010FE" w:rsidP="008010FE">
      <w:pPr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 рабочего времени.</w:t>
      </w: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</w:p>
    <w:p w:rsidR="008010FE" w:rsidRPr="008E4D9A" w:rsidRDefault="008010FE" w:rsidP="008010FE">
      <w:pPr>
        <w:ind w:firstLine="567"/>
        <w:jc w:val="both"/>
        <w:rPr>
          <w:rFonts w:cs="Times New Roman"/>
          <w:bCs/>
          <w:kern w:val="1"/>
          <w:szCs w:val="24"/>
        </w:rPr>
      </w:pPr>
      <w:r w:rsidRPr="008E4D9A">
        <w:rPr>
          <w:rFonts w:cs="Times New Roman"/>
          <w:bCs/>
          <w:kern w:val="1"/>
          <w:szCs w:val="24"/>
        </w:rPr>
        <w:t>2.5.Доплата за осуществление дополнительной работы, не входящей в круг основных должностных обязанностей: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6740"/>
        <w:gridCol w:w="2099"/>
      </w:tblGrid>
      <w:tr w:rsidR="008010FE" w:rsidRPr="008E4D9A" w:rsidTr="00C71213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№</w:t>
            </w:r>
          </w:p>
          <w:p w:rsidR="008010FE" w:rsidRPr="008E4D9A" w:rsidRDefault="008010FE" w:rsidP="00C71213">
            <w:pPr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п/п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bCs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 xml:space="preserve"> Перечень категорий работников и видов работ</w:t>
            </w:r>
            <w:r w:rsidRPr="008E4D9A">
              <w:rPr>
                <w:rFonts w:cs="Times New Roman"/>
                <w:bCs/>
                <w:kern w:val="1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Размер доплаты   к должностному окладу (процентов)</w:t>
            </w:r>
          </w:p>
        </w:tc>
      </w:tr>
      <w:tr w:rsidR="008010FE" w:rsidRPr="008E4D9A" w:rsidTr="00C71213">
        <w:trPr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3</w:t>
            </w:r>
          </w:p>
        </w:tc>
      </w:tr>
      <w:tr w:rsidR="008010FE" w:rsidRPr="008E4D9A" w:rsidTr="00C71213">
        <w:trPr>
          <w:trHeight w:val="1840"/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 xml:space="preserve">1.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both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Педагогические работники образовательных учреждений - за работу в методических, цикловых, предметных и психолого-медико-педагогических консилиумах, комиссиях, методических объединениях:</w:t>
            </w:r>
          </w:p>
          <w:p w:rsidR="008010FE" w:rsidRPr="008E4D9A" w:rsidRDefault="008010FE" w:rsidP="00C71213">
            <w:pPr>
              <w:snapToGrid w:val="0"/>
              <w:jc w:val="both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 xml:space="preserve">руководитель комиссии, </w:t>
            </w:r>
          </w:p>
          <w:p w:rsidR="008010FE" w:rsidRPr="008E4D9A" w:rsidRDefault="008010FE" w:rsidP="00C71213">
            <w:pPr>
              <w:snapToGrid w:val="0"/>
              <w:jc w:val="both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работа секретаря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</w:p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</w:p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</w:p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</w:p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до 20</w:t>
            </w:r>
          </w:p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до 15</w:t>
            </w:r>
          </w:p>
        </w:tc>
      </w:tr>
      <w:tr w:rsidR="008010FE" w:rsidRPr="008E4D9A" w:rsidTr="00C71213">
        <w:trPr>
          <w:trHeight w:val="30"/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2.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 xml:space="preserve">Работники  учреждения - за ведение делопроизводства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до 20</w:t>
            </w:r>
          </w:p>
        </w:tc>
      </w:tr>
      <w:tr w:rsidR="008010FE" w:rsidRPr="008E4D9A" w:rsidTr="00C71213">
        <w:trPr>
          <w:trHeight w:val="30"/>
          <w:tblHeader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3.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both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Работники учреждения за ведение библиотечной работы при наличии книжного фонда не менее 1000 книг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до 25</w:t>
            </w:r>
          </w:p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</w:p>
        </w:tc>
      </w:tr>
    </w:tbl>
    <w:p w:rsidR="008010FE" w:rsidRPr="008E4D9A" w:rsidRDefault="008010FE" w:rsidP="008010FE">
      <w:pPr>
        <w:ind w:firstLine="720"/>
        <w:jc w:val="both"/>
        <w:rPr>
          <w:rFonts w:cs="Times New Roman"/>
          <w:b/>
          <w:szCs w:val="24"/>
        </w:rPr>
      </w:pPr>
      <w:r w:rsidRPr="008E4D9A">
        <w:rPr>
          <w:rFonts w:cs="Times New Roman"/>
          <w:b/>
          <w:szCs w:val="24"/>
        </w:rPr>
        <w:tab/>
      </w:r>
    </w:p>
    <w:p w:rsidR="008010FE" w:rsidRPr="008E4D9A" w:rsidRDefault="008010FE" w:rsidP="008010FE">
      <w:pPr>
        <w:ind w:firstLine="720"/>
        <w:jc w:val="both"/>
        <w:rPr>
          <w:rFonts w:cs="Times New Roman"/>
          <w:bCs/>
          <w:kern w:val="1"/>
          <w:szCs w:val="24"/>
        </w:rPr>
      </w:pPr>
      <w:r w:rsidRPr="008E4D9A">
        <w:rPr>
          <w:rFonts w:cs="Times New Roman"/>
          <w:bCs/>
          <w:kern w:val="1"/>
          <w:szCs w:val="24"/>
        </w:rPr>
        <w:t>Доплаты за осуществление дополнительной работы, не входящей в круг основных должностных обязанностей устанавливаются от должностного оклада работника  по  соответствующей должности (ставки заработной платы) работника по основной работе.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 xml:space="preserve"> 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8010FE" w:rsidRPr="008E4D9A" w:rsidRDefault="008010FE" w:rsidP="008010FE">
      <w:pPr>
        <w:ind w:firstLine="540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 по: дошкольным учреждениям - 5 %.</w:t>
      </w: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  <w:r w:rsidRPr="008E4D9A">
        <w:rPr>
          <w:rFonts w:cs="Times New Roman"/>
          <w:b/>
          <w:szCs w:val="24"/>
        </w:rPr>
        <w:t>3. Выплаты стимулирующего характера</w:t>
      </w: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lastRenderedPageBreak/>
        <w:t>3.1. В соответствии с Перечнем видов выплат стимулирующего характера в муниципальных учреждениях работникам устанавливаются следующие виды выплат стимулирующего характера:</w:t>
      </w: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</w:p>
    <w:p w:rsidR="008010FE" w:rsidRPr="008E4D9A" w:rsidRDefault="008010FE" w:rsidP="008010FE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за интенсивность и высокие результаты работы;</w:t>
      </w:r>
    </w:p>
    <w:p w:rsidR="008010FE" w:rsidRPr="008E4D9A" w:rsidRDefault="008010FE" w:rsidP="008010FE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 xml:space="preserve"> за качество выполняемых работ;</w:t>
      </w:r>
    </w:p>
    <w:p w:rsidR="008010FE" w:rsidRPr="008E4D9A" w:rsidRDefault="008010FE" w:rsidP="008010FE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 xml:space="preserve"> за выслугу лет;</w:t>
      </w:r>
    </w:p>
    <w:p w:rsidR="008010FE" w:rsidRPr="008E4D9A" w:rsidRDefault="008010FE" w:rsidP="008010FE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 xml:space="preserve"> премиальные выплаты по итогам работы.</w:t>
      </w:r>
    </w:p>
    <w:p w:rsidR="008010FE" w:rsidRPr="008E4D9A" w:rsidRDefault="008010FE" w:rsidP="008010FE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3.2. 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8010FE" w:rsidRPr="008E4D9A" w:rsidRDefault="008010FE" w:rsidP="008010FE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Размер выплат по повышающему коэффициенту определяется путем умножения размера должностного оклада, ставки заработной платы на повышающий коэффициент.</w:t>
      </w:r>
    </w:p>
    <w:p w:rsidR="008010FE" w:rsidRPr="008E4D9A" w:rsidRDefault="008010FE" w:rsidP="008010FE">
      <w:pPr>
        <w:numPr>
          <w:ilvl w:val="0"/>
          <w:numId w:val="3"/>
        </w:numPr>
        <w:suppressAutoHyphens/>
        <w:spacing w:line="240" w:lineRule="auto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 повышающих коэффициентов за наличие квалификационной категории, образование, за выполнение важных (особо важных) и ответственных (особо ответственных) работ, которые учитываются при определении размера компенсационных выплат).</w:t>
      </w:r>
    </w:p>
    <w:p w:rsidR="008010FE" w:rsidRPr="008E4D9A" w:rsidRDefault="008010FE" w:rsidP="008010FE">
      <w:pPr>
        <w:numPr>
          <w:ilvl w:val="0"/>
          <w:numId w:val="3"/>
        </w:numPr>
        <w:spacing w:line="240" w:lineRule="auto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 xml:space="preserve">3.4. Повышающий коэффициент к должностным окладам работников учреждений (структурных подразделений) </w:t>
      </w:r>
      <w:r w:rsidRPr="008E4D9A">
        <w:rPr>
          <w:rFonts w:cs="Times New Roman"/>
          <w:bCs/>
          <w:kern w:val="1"/>
          <w:szCs w:val="24"/>
        </w:rPr>
        <w:t>за специфику работы</w:t>
      </w:r>
      <w:r w:rsidRPr="008E4D9A">
        <w:rPr>
          <w:rFonts w:cs="Times New Roman"/>
          <w:kern w:val="1"/>
          <w:szCs w:val="24"/>
        </w:rPr>
        <w:t>:</w:t>
      </w:r>
    </w:p>
    <w:tbl>
      <w:tblPr>
        <w:tblpPr w:leftFromText="180" w:rightFromText="180" w:vertAnchor="text" w:horzAnchor="margin" w:tblpY="228"/>
        <w:tblW w:w="100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3960"/>
        <w:gridCol w:w="3680"/>
        <w:gridCol w:w="1606"/>
      </w:tblGrid>
      <w:tr w:rsidR="008010FE" w:rsidRPr="008E4D9A" w:rsidTr="00C7121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№</w:t>
            </w:r>
          </w:p>
          <w:p w:rsidR="008010FE" w:rsidRPr="008E4D9A" w:rsidRDefault="008010FE" w:rsidP="00C71213">
            <w:pPr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FE" w:rsidRPr="008E4D9A" w:rsidRDefault="008010FE" w:rsidP="00C71213">
            <w:pPr>
              <w:snapToGrid w:val="0"/>
              <w:rPr>
                <w:rFonts w:cs="Times New Roman"/>
                <w:b/>
                <w:bCs/>
                <w:i/>
                <w:iCs/>
                <w:kern w:val="1"/>
                <w:szCs w:val="24"/>
              </w:rPr>
            </w:pPr>
            <w:r w:rsidRPr="008E4D9A">
              <w:rPr>
                <w:rFonts w:cs="Times New Roman"/>
                <w:b/>
                <w:bCs/>
                <w:i/>
                <w:iCs/>
                <w:kern w:val="1"/>
                <w:szCs w:val="24"/>
              </w:rPr>
              <w:t xml:space="preserve">Перечень учреждений (структурных подразделений)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Наименование должностей, профессий в этих учреждениях (структурных подразделениях), занятие которых дает право на установление повышающего коэффициента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Размер повышающего коэффициента</w:t>
            </w:r>
          </w:p>
        </w:tc>
      </w:tr>
      <w:tr w:rsidR="008010FE" w:rsidRPr="008E4D9A" w:rsidTr="00C7121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 xml:space="preserve">1.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FE" w:rsidRPr="008E4D9A" w:rsidRDefault="008010FE" w:rsidP="00C71213">
            <w:pPr>
              <w:snapToGrid w:val="0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 xml:space="preserve">Учреждения (структурные подразделения учреждений), расположенные в сельских населенных пунктах и рабочих поселках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FE" w:rsidRPr="008E4D9A" w:rsidRDefault="008010FE" w:rsidP="00C71213">
            <w:pPr>
              <w:snapToGrid w:val="0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Руководители и специалисты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FE" w:rsidRPr="008E4D9A" w:rsidRDefault="008010FE" w:rsidP="00C71213">
            <w:pPr>
              <w:snapToGrid w:val="0"/>
              <w:jc w:val="center"/>
              <w:rPr>
                <w:rFonts w:cs="Times New Roman"/>
                <w:kern w:val="1"/>
                <w:szCs w:val="24"/>
              </w:rPr>
            </w:pPr>
            <w:r w:rsidRPr="008E4D9A">
              <w:rPr>
                <w:rFonts w:cs="Times New Roman"/>
                <w:kern w:val="1"/>
                <w:szCs w:val="24"/>
              </w:rPr>
              <w:t>0,25</w:t>
            </w:r>
          </w:p>
        </w:tc>
      </w:tr>
    </w:tbl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 xml:space="preserve">Повышающие коэффициенты к должностным окладам работников учреждений (структурных подразделений) </w:t>
      </w:r>
      <w:r w:rsidRPr="008E4D9A">
        <w:rPr>
          <w:rFonts w:cs="Times New Roman"/>
          <w:bCs/>
          <w:kern w:val="1"/>
          <w:szCs w:val="24"/>
        </w:rPr>
        <w:t xml:space="preserve">за специфику работы и за </w:t>
      </w:r>
      <w:r w:rsidRPr="008E4D9A">
        <w:rPr>
          <w:rFonts w:cs="Times New Roman"/>
          <w:szCs w:val="24"/>
        </w:rPr>
        <w:t>высокие результаты работы</w:t>
      </w:r>
      <w:r w:rsidRPr="008E4D9A">
        <w:rPr>
          <w:rFonts w:cs="Times New Roman"/>
          <w:bCs/>
          <w:kern w:val="1"/>
          <w:szCs w:val="24"/>
        </w:rPr>
        <w:t xml:space="preserve"> устанавливается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повышающие коэффициенты устанавливаются от должностного оклада, исчисленного на учебную нагрузку.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3.4. Работникам учреждения устанавливаются следующие выплаты за качество выполняемых работ: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-повышающий коэффициент за квалификацию;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- надбавка за качество выполняемых работ;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-повышающий коэффициент к ставке заработной платы за выполнение важных (особо важных) и ответственных (особо ответственных) работ;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-надбавка за результативность и качество работы по организации образовательного процесса.</w:t>
      </w: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  <w:r w:rsidRPr="008E4D9A">
        <w:rPr>
          <w:rFonts w:cs="Times New Roman"/>
          <w:szCs w:val="24"/>
        </w:rPr>
        <w:t>3.5. Повышающий коэффициент за квалификацию устанавливается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lastRenderedPageBreak/>
        <w:t>работникам при наличии квалификационной категории: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второй  –  0,07;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 xml:space="preserve"> первой  –  0,15;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kern w:val="1"/>
          <w:szCs w:val="24"/>
        </w:rPr>
        <w:t xml:space="preserve"> высшей – 0,30  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Повышающий коэффициент за квалификацию при наличии квалификационной категории устанавливается специалистам при работе по должности, по которой им присвоена квалификационная категория, со дня издания приказа о присвоении квалификационной категории.</w:t>
      </w:r>
    </w:p>
    <w:p w:rsidR="008010FE" w:rsidRPr="008E4D9A" w:rsidRDefault="008010FE" w:rsidP="008010FE">
      <w:pPr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</w:t>
      </w:r>
    </w:p>
    <w:p w:rsidR="008010FE" w:rsidRPr="008E4D9A" w:rsidRDefault="008010FE" w:rsidP="008010FE">
      <w:pPr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временно отсутствующих работников с отработкой времени и при выполнении педагогической работы, не считающейся совместительством в соответствии с пунктом 2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 xml:space="preserve">3.6. Надбавка за качество выполняемых работ устанавливается работникам, которым присвоено почетное звание по основному профилю профессиональной деятельности при наличии почетного звания «народный» — до 30 процентов должностного оклада, «заслуженный» - до 20 процентов должностного оклада по основной и совмещаемой должности, награжденным ведомственным почетным званием (нагрудным знаком) — до 15 процентов должностного оклада по основной должности. 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Надбавка за качество выполняемых работ имеющим почетное</w:t>
      </w:r>
    </w:p>
    <w:p w:rsidR="008010FE" w:rsidRPr="008E4D9A" w:rsidRDefault="008010FE" w:rsidP="008010FE">
      <w:pPr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звание (нагрудный знак)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имеющихся оснований, имеющему большее значение.</w:t>
      </w:r>
    </w:p>
    <w:p w:rsidR="008010FE" w:rsidRPr="008E4D9A" w:rsidRDefault="008010FE" w:rsidP="008010FE">
      <w:pPr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3.7. Надбавка за результативность и качество работы по организации образовательного процесса устанавливается педагогическим работникам образовательных учреждений, реализующих программы общего образования, учреждений дополнительного образования детей.</w:t>
      </w: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  <w:r w:rsidRPr="008E4D9A">
        <w:rPr>
          <w:rFonts w:cs="Times New Roman"/>
          <w:szCs w:val="24"/>
        </w:rPr>
        <w:t>Размеры и порядок установления надбавки за  результативность и качество работы по организации образовательного процесса утверждены Положением о порядке установления выплат стимулирующего характера работникам учреждения , с учетом мнения  профсоюзного комитета, в пределах средств районного бюджета, предусмотренных учреждению на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введение данной надбавки, в соответствии с критериями оценки результативности и качества работы педагогических работников.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Рекомендуемые критерии оценки результативности и качества работы педагогических работников: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-наличие позитивной динамики учебных достижений обучающихся (уровня и качества освоения учащимися учебных программ);</w:t>
      </w:r>
    </w:p>
    <w:p w:rsidR="008010FE" w:rsidRPr="008E4D9A" w:rsidRDefault="008010FE" w:rsidP="008010FE">
      <w:pPr>
        <w:rPr>
          <w:rFonts w:cs="Times New Roman"/>
          <w:kern w:val="1"/>
          <w:szCs w:val="24"/>
        </w:rPr>
      </w:pP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-наличие позитивных результатов внеурочной деятельности обучающихся по учебным предметам  (динамика и разнообразия форм включения школьников во внеурочную деятельность по предмету, результативность работы в рамках реализации направлений национальной образовательной инициативы «Наша новая школа», участие школьников в сетевых, дистанционных формах дополнительного образования, результативность деятельности педагога по организации внеурочной деятельности учащихся на муниципальном и региональном уровнях и т.п.);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lastRenderedPageBreak/>
        <w:t>-использование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-обобщение и распространение собственного педагогического опыта на муниципальном и (или) на региональном уровнях;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-участие в муниципальных, региональных и федеральных профессиональных конкурсах;</w:t>
      </w:r>
    </w:p>
    <w:p w:rsidR="008010FE" w:rsidRPr="008E4D9A" w:rsidRDefault="008010FE" w:rsidP="008010FE">
      <w:pPr>
        <w:spacing w:line="216" w:lineRule="auto"/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-прочие критерии, устанавливаемые учреждениями с учетом специфики деятельности и функциональных обязанностей педагогических работников.</w:t>
      </w:r>
    </w:p>
    <w:p w:rsidR="008010FE" w:rsidRPr="008E4D9A" w:rsidRDefault="008010FE" w:rsidP="008010FE">
      <w:pPr>
        <w:snapToGrid w:val="0"/>
        <w:spacing w:line="200" w:lineRule="atLeast"/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Объем средств, предусмотренный на установление надбавки за результативность и качество работы рассчитывается и доводится образовательному учреждению главным распорядителем средств районного бюджета – отделом образования Администрации Матвеево-Курганского района.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3.8. Персональный повышающий коэффициент — до 2,0.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Решение об установлении персонального повышающего коэффициента к должностному окладу, ставке заработной платы и его размерах принимается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8010FE" w:rsidRPr="008E4D9A" w:rsidRDefault="008010FE" w:rsidP="008010FE">
      <w:pPr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Персональный повышающий коэффициент работникам устанавливается руководителем учреждения.</w:t>
      </w:r>
    </w:p>
    <w:p w:rsidR="008010FE" w:rsidRPr="008E4D9A" w:rsidRDefault="008010FE" w:rsidP="008010FE">
      <w:pPr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Персональный повышающий коэффициент руководителю учреждения устанавливается по решению Отдела образования Администрации Матвеево-Курганского района.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Персональный повышающий коэффициент не планируется  и применяется только при условии экономии ФОТ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 xml:space="preserve">3.9. Повышающий коэффициент к ставке заработной платы выполнение важных (особо важных) и ответственных (особо ответственных) работ в размере до 0,2 устанавливается по решению руководителя учреждения рабочим, имеющим не ниже 6 квалификационного разряда привлекаемым для выполнения важных (особо важных) и ответственных (особо ответственных) работ. 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3.10.  Повышающий коэффициент к должностному окладу за выслугу лет устанавливается руководителям, специалистам и служащим в зависимости от общего количества лет, проработанных в учреждениях бюджетной сферы.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Размеры повышающего коэффициента к должностному окладу за выслугу лет:</w:t>
      </w:r>
    </w:p>
    <w:p w:rsidR="008010FE" w:rsidRPr="008E4D9A" w:rsidRDefault="008010FE" w:rsidP="008010FE">
      <w:pPr>
        <w:numPr>
          <w:ilvl w:val="0"/>
          <w:numId w:val="1"/>
        </w:numPr>
        <w:tabs>
          <w:tab w:val="left" w:pos="1260"/>
        </w:tabs>
        <w:suppressAutoHyphens/>
        <w:spacing w:line="240" w:lineRule="auto"/>
        <w:ind w:left="1260" w:hanging="720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при выслуге лет от 1 года до 5 лет - 0,10;</w:t>
      </w:r>
    </w:p>
    <w:p w:rsidR="008010FE" w:rsidRPr="008E4D9A" w:rsidRDefault="008010FE" w:rsidP="008010FE">
      <w:pPr>
        <w:numPr>
          <w:ilvl w:val="0"/>
          <w:numId w:val="1"/>
        </w:numPr>
        <w:tabs>
          <w:tab w:val="left" w:pos="1260"/>
        </w:tabs>
        <w:suppressAutoHyphens/>
        <w:spacing w:line="240" w:lineRule="auto"/>
        <w:ind w:left="1260" w:hanging="720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при выслуге лет от 5 до 10 лет - 0,15;</w:t>
      </w:r>
    </w:p>
    <w:p w:rsidR="008010FE" w:rsidRPr="008E4D9A" w:rsidRDefault="008010FE" w:rsidP="008010FE">
      <w:pPr>
        <w:numPr>
          <w:ilvl w:val="0"/>
          <w:numId w:val="1"/>
        </w:numPr>
        <w:tabs>
          <w:tab w:val="left" w:pos="1260"/>
        </w:tabs>
        <w:suppressAutoHyphens/>
        <w:spacing w:line="240" w:lineRule="auto"/>
        <w:ind w:left="1260" w:hanging="720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при выслуге лет от 10 до 1 5 лет - 0,20;</w:t>
      </w:r>
    </w:p>
    <w:p w:rsidR="008010FE" w:rsidRPr="008E4D9A" w:rsidRDefault="008010FE" w:rsidP="008010FE">
      <w:pPr>
        <w:numPr>
          <w:ilvl w:val="0"/>
          <w:numId w:val="1"/>
        </w:numPr>
        <w:tabs>
          <w:tab w:val="left" w:pos="1260"/>
        </w:tabs>
        <w:suppressAutoHyphens/>
        <w:spacing w:line="240" w:lineRule="auto"/>
        <w:ind w:left="1260" w:hanging="720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при выслуге лет свыше 15 лет - 0,30.</w:t>
      </w:r>
    </w:p>
    <w:p w:rsidR="008010FE" w:rsidRPr="008E4D9A" w:rsidRDefault="008010FE" w:rsidP="008010FE">
      <w:pPr>
        <w:ind w:firstLine="540"/>
        <w:jc w:val="both"/>
        <w:rPr>
          <w:rFonts w:eastAsia="Arial"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 xml:space="preserve">Повышающий коэффициент к должностному окладу за выслугу лет </w:t>
      </w:r>
      <w:r w:rsidRPr="008E4D9A">
        <w:rPr>
          <w:rFonts w:cs="Times New Roman"/>
          <w:bCs/>
          <w:kern w:val="1"/>
          <w:szCs w:val="24"/>
        </w:rPr>
        <w:t xml:space="preserve">устанавливается работнику по основной работе, работе, выполняемой по совместительству, </w:t>
      </w:r>
      <w:r w:rsidRPr="008E4D9A">
        <w:rPr>
          <w:rFonts w:cs="Times New Roman"/>
          <w:kern w:val="1"/>
          <w:szCs w:val="24"/>
        </w:rPr>
        <w:t>а также при замещении временно отсутствующих работников с отработкой времени. П</w:t>
      </w:r>
      <w:r w:rsidRPr="008E4D9A">
        <w:rPr>
          <w:rFonts w:cs="Times New Roman"/>
          <w:bCs/>
          <w:kern w:val="1"/>
          <w:szCs w:val="24"/>
        </w:rPr>
        <w:t>едагогическим работникам п</w:t>
      </w:r>
      <w:r w:rsidRPr="008E4D9A">
        <w:rPr>
          <w:rFonts w:cs="Times New Roman"/>
          <w:kern w:val="1"/>
          <w:szCs w:val="24"/>
        </w:rPr>
        <w:t xml:space="preserve">овышающий коэффициент к должностному окладу за выслугу лет </w:t>
      </w:r>
      <w:r w:rsidRPr="008E4D9A">
        <w:rPr>
          <w:rFonts w:cs="Times New Roman"/>
          <w:bCs/>
          <w:kern w:val="1"/>
          <w:szCs w:val="24"/>
        </w:rPr>
        <w:t>устанавливается от должностного оклада, исчисленного на учебную нагрузку.</w:t>
      </w:r>
    </w:p>
    <w:p w:rsidR="008010FE" w:rsidRPr="008E4D9A" w:rsidRDefault="008010FE" w:rsidP="008010FE">
      <w:pPr>
        <w:snapToGrid w:val="0"/>
        <w:spacing w:line="200" w:lineRule="atLeast"/>
        <w:ind w:firstLine="540"/>
        <w:jc w:val="both"/>
        <w:rPr>
          <w:rFonts w:cs="Times New Roman"/>
          <w:bCs/>
          <w:kern w:val="1"/>
          <w:szCs w:val="24"/>
        </w:rPr>
      </w:pPr>
      <w:r w:rsidRPr="008E4D9A">
        <w:rPr>
          <w:rFonts w:cs="Times New Roman"/>
          <w:bCs/>
          <w:kern w:val="1"/>
          <w:szCs w:val="24"/>
        </w:rPr>
        <w:t>Установление (изменение) размера</w:t>
      </w:r>
      <w:r w:rsidRPr="008E4D9A">
        <w:rPr>
          <w:rFonts w:cs="Times New Roman"/>
          <w:kern w:val="1"/>
          <w:szCs w:val="24"/>
        </w:rPr>
        <w:t xml:space="preserve"> п</w:t>
      </w:r>
      <w:r w:rsidRPr="008E4D9A">
        <w:rPr>
          <w:rFonts w:cs="Times New Roman"/>
          <w:bCs/>
          <w:kern w:val="1"/>
          <w:szCs w:val="24"/>
        </w:rPr>
        <w:t xml:space="preserve">овышающего коэффициента к должностному окладу </w:t>
      </w:r>
      <w:r w:rsidRPr="008E4D9A">
        <w:rPr>
          <w:rFonts w:cs="Times New Roman"/>
          <w:kern w:val="1"/>
          <w:szCs w:val="24"/>
        </w:rPr>
        <w:t xml:space="preserve">за выслугу лет </w:t>
      </w:r>
      <w:r w:rsidRPr="008E4D9A">
        <w:rPr>
          <w:rFonts w:cs="Times New Roman"/>
          <w:bCs/>
          <w:kern w:val="1"/>
          <w:szCs w:val="24"/>
        </w:rPr>
        <w:t>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8010FE" w:rsidRPr="008E4D9A" w:rsidRDefault="008010FE" w:rsidP="008010FE">
      <w:pPr>
        <w:ind w:firstLine="720"/>
        <w:jc w:val="both"/>
        <w:rPr>
          <w:rFonts w:cs="Times New Roman"/>
          <w:kern w:val="1"/>
          <w:szCs w:val="24"/>
        </w:rPr>
      </w:pPr>
      <w:r w:rsidRPr="008E4D9A">
        <w:rPr>
          <w:rFonts w:cs="Times New Roman"/>
          <w:kern w:val="1"/>
          <w:szCs w:val="24"/>
        </w:rPr>
        <w:t>3.11. 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на очередной финансовый год.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lastRenderedPageBreak/>
        <w:t>3.12.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из них до 1,5% - на премирование руководителя учреждения, его заместителей и главного бухгалтера.</w:t>
      </w:r>
    </w:p>
    <w:p w:rsidR="008010FE" w:rsidRPr="008E4D9A" w:rsidRDefault="008010FE" w:rsidP="008010FE">
      <w:pPr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Премирование руководителя, заместителей руководителя и главного бухгалтера осуществляется на основании Положения о премировании, утверждаемого Отделом образования Администрации Матвеево-Курганского района, с учетом целевых показателей эффективности деятельности учреждения.</w:t>
      </w:r>
    </w:p>
    <w:p w:rsidR="008010FE" w:rsidRPr="008E4D9A" w:rsidRDefault="008010FE" w:rsidP="008010FE">
      <w:pPr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Премирование работников осуществляется по решению руководителя учреждения в соответствии с Положением о премировании.</w:t>
      </w:r>
    </w:p>
    <w:p w:rsidR="008010FE" w:rsidRPr="008E4D9A" w:rsidRDefault="008010FE" w:rsidP="008010FE">
      <w:pPr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При определении показателей и условий премирования следует учитывать:</w:t>
      </w:r>
    </w:p>
    <w:p w:rsidR="008010FE" w:rsidRPr="008E4D9A" w:rsidRDefault="008010FE" w:rsidP="008010FE">
      <w:pPr>
        <w:numPr>
          <w:ilvl w:val="0"/>
          <w:numId w:val="1"/>
        </w:numPr>
        <w:tabs>
          <w:tab w:val="left" w:pos="1260"/>
        </w:tabs>
        <w:suppressAutoHyphens/>
        <w:spacing w:line="240" w:lineRule="auto"/>
        <w:ind w:left="1260" w:hanging="720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8010FE" w:rsidRPr="008E4D9A" w:rsidRDefault="008010FE" w:rsidP="008010FE">
      <w:pPr>
        <w:numPr>
          <w:ilvl w:val="0"/>
          <w:numId w:val="1"/>
        </w:numPr>
        <w:tabs>
          <w:tab w:val="left" w:pos="1260"/>
        </w:tabs>
        <w:suppressAutoHyphens/>
        <w:spacing w:line="240" w:lineRule="auto"/>
        <w:ind w:left="1260" w:hanging="720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инициативу, творчество и применение в работе современных форм и методов организации труда;</w:t>
      </w:r>
    </w:p>
    <w:p w:rsidR="008010FE" w:rsidRPr="008E4D9A" w:rsidRDefault="008010FE" w:rsidP="008010FE">
      <w:pPr>
        <w:numPr>
          <w:ilvl w:val="0"/>
          <w:numId w:val="1"/>
        </w:numPr>
        <w:tabs>
          <w:tab w:val="left" w:pos="1260"/>
        </w:tabs>
        <w:suppressAutoHyphens/>
        <w:spacing w:line="240" w:lineRule="auto"/>
        <w:ind w:left="1260" w:hanging="720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качественную подготовку и проведение мероприятий, связанных с уставной деятельностью учреждения;</w:t>
      </w:r>
    </w:p>
    <w:p w:rsidR="008010FE" w:rsidRPr="008E4D9A" w:rsidRDefault="008010FE" w:rsidP="008010FE">
      <w:pPr>
        <w:numPr>
          <w:ilvl w:val="0"/>
          <w:numId w:val="1"/>
        </w:numPr>
        <w:tabs>
          <w:tab w:val="left" w:pos="1260"/>
        </w:tabs>
        <w:suppressAutoHyphens/>
        <w:spacing w:line="240" w:lineRule="auto"/>
        <w:ind w:left="1260" w:hanging="720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участие в течение месяца в выполнении особо важных работ и мероприятий.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Премирование  производится при достижении определенных показателей  только при условии экономии ФОТ.</w:t>
      </w:r>
    </w:p>
    <w:p w:rsidR="008010FE" w:rsidRPr="008E4D9A" w:rsidRDefault="008010FE" w:rsidP="008010FE">
      <w:pPr>
        <w:spacing w:line="216" w:lineRule="auto"/>
        <w:ind w:firstLine="708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Учреждения вправе увеличивать премиальный фонд сверх предельного размера, установленного пунктом 3.12.  к настоящему положению, за счет средств экономии по фонду оплаты труда и по другим статьям расходов (для казенных учреждений) или в пределах общей суммы субсидии на финансовое обеспечение  муниципального задания на оказание муниципальных услуг (выполнение работ) (для бюджетных и автономных учреждений).</w:t>
      </w: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</w:p>
    <w:p w:rsidR="008010FE" w:rsidRPr="008E4D9A" w:rsidRDefault="008010FE" w:rsidP="008010FE">
      <w:pPr>
        <w:ind w:firstLine="709"/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3.13.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учреждения  принимает руководитель учреждения  на основании письменного заявления работника, руководителю учреждения  – на основании приказа Отдела образования Администрации Матвеево-Курганского района, по  письменному заявлению руководителя учреждения.</w:t>
      </w:r>
    </w:p>
    <w:p w:rsidR="008010FE" w:rsidRPr="008E4D9A" w:rsidRDefault="008010FE" w:rsidP="008010FE">
      <w:pPr>
        <w:jc w:val="both"/>
        <w:rPr>
          <w:rFonts w:cs="Times New Roman"/>
          <w:szCs w:val="24"/>
        </w:rPr>
      </w:pP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  <w:r w:rsidRPr="008E4D9A">
        <w:rPr>
          <w:rFonts w:cs="Times New Roman"/>
          <w:b/>
          <w:szCs w:val="24"/>
        </w:rPr>
        <w:t>4. Порядок отнесения учреждений образования к группам по оплате труда, руководителей</w:t>
      </w:r>
    </w:p>
    <w:p w:rsidR="008010FE" w:rsidRPr="008E4D9A" w:rsidRDefault="008010FE" w:rsidP="008010FE">
      <w:pPr>
        <w:jc w:val="center"/>
        <w:rPr>
          <w:rFonts w:cs="Times New Roman"/>
          <w:b/>
          <w:szCs w:val="24"/>
        </w:rPr>
      </w:pPr>
    </w:p>
    <w:p w:rsidR="008010FE" w:rsidRPr="008E4D9A" w:rsidRDefault="008010FE" w:rsidP="008010FE">
      <w:pPr>
        <w:jc w:val="both"/>
        <w:rPr>
          <w:rFonts w:cs="Times New Roman"/>
          <w:szCs w:val="24"/>
        </w:rPr>
      </w:pPr>
      <w:r w:rsidRPr="008E4D9A">
        <w:rPr>
          <w:rFonts w:cs="Times New Roman"/>
          <w:szCs w:val="24"/>
        </w:rPr>
        <w:t>4.1. Муниципальное  бюджетное дошкольное образовательное учреждение «Детский сад №</w:t>
      </w:r>
      <w:r w:rsidR="007E5279">
        <w:rPr>
          <w:rFonts w:cs="Times New Roman"/>
          <w:szCs w:val="24"/>
        </w:rPr>
        <w:t>22</w:t>
      </w:r>
      <w:r w:rsidRPr="008E4D9A">
        <w:rPr>
          <w:rFonts w:cs="Times New Roman"/>
          <w:szCs w:val="24"/>
        </w:rPr>
        <w:t>«</w:t>
      </w:r>
      <w:r w:rsidR="007E5279">
        <w:rPr>
          <w:rFonts w:cs="Times New Roman"/>
          <w:szCs w:val="24"/>
        </w:rPr>
        <w:t>Василек</w:t>
      </w:r>
      <w:r w:rsidRPr="008E4D9A">
        <w:rPr>
          <w:rFonts w:cs="Times New Roman"/>
          <w:szCs w:val="24"/>
        </w:rPr>
        <w:t>»   относится к четвертой группе по оплате труда руководителей, исходя из показателей, характеризующих масштаб руководства учреждением: численности работников, количества воспитанников, превышения плановой (проектной) наполняемости и других показателей, значительно осложняющих работу по руководству учреждением.</w:t>
      </w:r>
    </w:p>
    <w:p w:rsidR="008010FE" w:rsidRPr="008E4D9A" w:rsidRDefault="008010FE">
      <w:pPr>
        <w:rPr>
          <w:rFonts w:cs="Times New Roman"/>
          <w:szCs w:val="24"/>
        </w:rPr>
      </w:pPr>
    </w:p>
    <w:sectPr w:rsidR="008010FE" w:rsidRPr="008E4D9A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072FF"/>
    <w:rsid w:val="000B23C5"/>
    <w:rsid w:val="000D1952"/>
    <w:rsid w:val="00145A13"/>
    <w:rsid w:val="00324DA8"/>
    <w:rsid w:val="00434A76"/>
    <w:rsid w:val="005A6C28"/>
    <w:rsid w:val="006072FF"/>
    <w:rsid w:val="00636FE4"/>
    <w:rsid w:val="006C4629"/>
    <w:rsid w:val="007E5279"/>
    <w:rsid w:val="008010FE"/>
    <w:rsid w:val="00866C38"/>
    <w:rsid w:val="008E4D9A"/>
    <w:rsid w:val="00BA4E3B"/>
    <w:rsid w:val="00BE23C0"/>
    <w:rsid w:val="00D90FE6"/>
    <w:rsid w:val="00E17351"/>
    <w:rsid w:val="00EA1408"/>
    <w:rsid w:val="00F13E42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paragraph" w:styleId="5">
    <w:name w:val="heading 5"/>
    <w:basedOn w:val="a"/>
    <w:next w:val="a"/>
    <w:link w:val="50"/>
    <w:qFormat/>
    <w:rsid w:val="008010FE"/>
    <w:pPr>
      <w:keepNext/>
      <w:shd w:val="clear" w:color="auto" w:fill="FFFFFF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4"/>
    </w:pPr>
    <w:rPr>
      <w:rFonts w:eastAsia="Times New Roman" w:cs="Times New Roman"/>
      <w:color w:val="000000"/>
      <w:spacing w:val="-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F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010FE"/>
    <w:rPr>
      <w:rFonts w:eastAsia="Times New Roman" w:cs="Times New Roman"/>
      <w:color w:val="000000"/>
      <w:spacing w:val="-1"/>
      <w:sz w:val="26"/>
      <w:szCs w:val="26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11</cp:revision>
  <cp:lastPrinted>2014-10-24T14:13:00Z</cp:lastPrinted>
  <dcterms:created xsi:type="dcterms:W3CDTF">2014-09-15T04:44:00Z</dcterms:created>
  <dcterms:modified xsi:type="dcterms:W3CDTF">2014-10-24T14:16:00Z</dcterms:modified>
</cp:coreProperties>
</file>